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03" w:rsidRPr="006C2929" w:rsidRDefault="00076D03" w:rsidP="008012A4">
      <w:pPr>
        <w:widowControl/>
        <w:shd w:val="clear" w:color="auto" w:fill="FFFFFF"/>
        <w:spacing w:beforeLines="50" w:afterLines="50" w:line="360" w:lineRule="auto"/>
        <w:jc w:val="center"/>
        <w:outlineLvl w:val="2"/>
        <w:rPr>
          <w:rFonts w:ascii="黑体" w:eastAsia="黑体" w:hAnsi="黑体" w:cs="宋体"/>
          <w:b/>
          <w:color w:val="4E4E4E"/>
          <w:kern w:val="0"/>
          <w:sz w:val="36"/>
          <w:szCs w:val="36"/>
        </w:rPr>
      </w:pPr>
      <w:r w:rsidRPr="006C2929">
        <w:rPr>
          <w:rFonts w:ascii="黑体" w:eastAsia="黑体" w:hAnsi="黑体" w:cs="宋体" w:hint="eastAsia"/>
          <w:b/>
          <w:color w:val="4E4E4E"/>
          <w:kern w:val="0"/>
          <w:sz w:val="36"/>
          <w:szCs w:val="36"/>
        </w:rPr>
        <w:t>2022年泰安一中新生校区分配方案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Chars="200" w:firstLine="600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根据泰教发【202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】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6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号文《泰安市教育局关于202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年高中段学校招生录取工作的实施意见》，为做好泰安一中新生校区分配工作，特制定本方案。</w:t>
      </w:r>
    </w:p>
    <w:p w:rsidR="00076D03" w:rsidRPr="008B7F4D" w:rsidRDefault="00076D03" w:rsidP="006C2929">
      <w:pPr>
        <w:pStyle w:val="a3"/>
        <w:spacing w:beforeLines="50" w:beforeAutospacing="0" w:afterLines="50" w:afterAutospacing="0" w:line="360" w:lineRule="auto"/>
        <w:rPr>
          <w:rFonts w:ascii="仿宋" w:eastAsia="仿宋" w:hAnsi="仿宋" w:cs="Tahoma"/>
          <w:b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b/>
          <w:color w:val="000000" w:themeColor="text1"/>
          <w:sz w:val="30"/>
          <w:szCs w:val="30"/>
        </w:rPr>
        <w:t>一、招生计划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泰安一中202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年计划招生1860人，其中新校区1300人、老校区560人。</w:t>
      </w:r>
    </w:p>
    <w:p w:rsidR="00076D03" w:rsidRPr="008B7F4D" w:rsidRDefault="00076D03" w:rsidP="006C2929">
      <w:pPr>
        <w:pStyle w:val="a3"/>
        <w:spacing w:beforeLines="50" w:beforeAutospacing="0" w:afterLines="50" w:afterAutospacing="0" w:line="360" w:lineRule="auto"/>
        <w:rPr>
          <w:rFonts w:ascii="仿宋" w:eastAsia="仿宋" w:hAnsi="仿宋" w:cs="Tahoma"/>
          <w:b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b/>
          <w:color w:val="000000" w:themeColor="text1"/>
          <w:sz w:val="30"/>
          <w:szCs w:val="30"/>
        </w:rPr>
        <w:t>二、既定生源校区分配情况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1.提前录取的中科大少年班泰安一中预备班20人，按泰教体字〔202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〕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3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号文件规定新校区招收艺体特长生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39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人，共计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59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人安排在新校区就读。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2.西藏生45人，中美班60人，按泰教体字〔202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〕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3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号文件规定老校区招收艺体特长生41人，共计146人安排在老校区就读。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3.除如上已明确校区的学生外，剩余计划共计165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5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人，其中新校区124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1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人、老校区414人。</w:t>
      </w:r>
    </w:p>
    <w:p w:rsidR="00076D03" w:rsidRPr="008B7F4D" w:rsidRDefault="00076D03" w:rsidP="006C2929">
      <w:pPr>
        <w:pStyle w:val="a3"/>
        <w:spacing w:beforeLines="50" w:beforeAutospacing="0" w:afterLines="50" w:afterAutospacing="0" w:line="360" w:lineRule="auto"/>
        <w:rPr>
          <w:rFonts w:ascii="仿宋" w:eastAsia="仿宋" w:hAnsi="仿宋" w:cs="Tahoma"/>
          <w:b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b/>
          <w:color w:val="000000" w:themeColor="text1"/>
          <w:sz w:val="30"/>
          <w:szCs w:val="30"/>
        </w:rPr>
        <w:t>三、录取生源超出校区计划时校区调整办法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考生在填报指标生、统招生志愿时，若选择“泰安一中”，须同时选择就读校区：新校区或老校区。原则上新校区安排住校，老校区不安排住校。当选择新校区超过124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1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人或选择老校区超过414人时，则按照如下办法进行调整：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Chars="150" w:firstLine="450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lastRenderedPageBreak/>
        <w:t>1.当选择新校区超过124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1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人时，按</w:t>
      </w:r>
      <w:r w:rsidR="0002063B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分数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成绩由低到高依次调整到老校区，直至新校区达124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1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人。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Chars="150" w:firstLine="450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2.当选择老校区超过414人时，按</w:t>
      </w:r>
      <w:r w:rsidR="0002063B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分数</w:t>
      </w:r>
      <w:bookmarkStart w:id="0" w:name="_GoBack"/>
      <w:bookmarkEnd w:id="0"/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成绩由低到高依次调整到新校区，直至老校区达414人。</w:t>
      </w:r>
    </w:p>
    <w:p w:rsidR="00076D03" w:rsidRPr="008B7F4D" w:rsidRDefault="00076D03" w:rsidP="006C2929">
      <w:pPr>
        <w:pStyle w:val="a3"/>
        <w:spacing w:beforeLines="50" w:beforeAutospacing="0" w:afterLines="50" w:afterAutospacing="0" w:line="360" w:lineRule="auto"/>
        <w:rPr>
          <w:rFonts w:ascii="仿宋" w:eastAsia="仿宋" w:hAnsi="仿宋" w:cs="Tahoma"/>
          <w:b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b/>
          <w:color w:val="000000" w:themeColor="text1"/>
          <w:sz w:val="30"/>
          <w:szCs w:val="30"/>
        </w:rPr>
        <w:t>四、其它</w:t>
      </w:r>
    </w:p>
    <w:p w:rsidR="00076D03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2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 xml:space="preserve">凡报考泰安一中的考生视为同意泰安一中校区分配方案，并服从学校按既定规则做出的相应安排；对不服从按既定规则作出就读校区安排的，将被取消高中段学校录取资格。　</w:t>
      </w:r>
    </w:p>
    <w:p w:rsidR="006C2929" w:rsidRDefault="006C2929" w:rsidP="008012A4">
      <w:pPr>
        <w:pStyle w:val="a3"/>
        <w:spacing w:beforeLines="50" w:beforeAutospacing="0" w:afterLines="50" w:afterAutospacing="0" w:line="360" w:lineRule="auto"/>
        <w:ind w:firstLine="480"/>
        <w:jc w:val="right"/>
        <w:rPr>
          <w:rFonts w:ascii="仿宋" w:eastAsia="仿宋" w:hAnsi="仿宋" w:cs="Tahoma" w:hint="eastAsia"/>
          <w:color w:val="000000" w:themeColor="text1"/>
          <w:sz w:val="30"/>
          <w:szCs w:val="30"/>
        </w:rPr>
      </w:pPr>
    </w:p>
    <w:p w:rsidR="001555C2" w:rsidRPr="008B7F4D" w:rsidRDefault="00076D03" w:rsidP="008012A4">
      <w:pPr>
        <w:pStyle w:val="a3"/>
        <w:spacing w:beforeLines="50" w:beforeAutospacing="0" w:afterLines="50" w:afterAutospacing="0" w:line="360" w:lineRule="auto"/>
        <w:ind w:firstLine="480"/>
        <w:jc w:val="right"/>
        <w:rPr>
          <w:rFonts w:ascii="仿宋" w:eastAsia="仿宋" w:hAnsi="仿宋" w:cs="Tahoma"/>
          <w:color w:val="000000" w:themeColor="text1"/>
          <w:sz w:val="30"/>
          <w:szCs w:val="30"/>
        </w:rPr>
      </w:pP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202</w:t>
      </w:r>
      <w:r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Pr="008B7F4D">
        <w:rPr>
          <w:rFonts w:ascii="仿宋" w:eastAsia="仿宋" w:hAnsi="仿宋" w:cs="Tahoma"/>
          <w:color w:val="000000" w:themeColor="text1"/>
          <w:sz w:val="30"/>
          <w:szCs w:val="30"/>
        </w:rPr>
        <w:t>年5月20日</w:t>
      </w:r>
    </w:p>
    <w:sectPr w:rsidR="001555C2" w:rsidRPr="008B7F4D" w:rsidSect="00A77F36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C93" w:rsidRDefault="00623C93" w:rsidP="00291DE5">
      <w:r>
        <w:separator/>
      </w:r>
    </w:p>
  </w:endnote>
  <w:endnote w:type="continuationSeparator" w:id="1">
    <w:p w:rsidR="00623C93" w:rsidRDefault="00623C93" w:rsidP="0029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5375"/>
      <w:docPartObj>
        <w:docPartGallery w:val="Page Numbers (Bottom of Page)"/>
        <w:docPartUnique/>
      </w:docPartObj>
    </w:sdtPr>
    <w:sdtContent>
      <w:p w:rsidR="003B12E5" w:rsidRDefault="003B12E5">
        <w:pPr>
          <w:pStyle w:val="a6"/>
          <w:jc w:val="center"/>
        </w:pPr>
        <w:fldSimple w:instr=" PAGE   \* MERGEFORMAT ">
          <w:r w:rsidR="00D90E82" w:rsidRPr="00D90E82">
            <w:rPr>
              <w:noProof/>
              <w:lang w:val="zh-CN"/>
            </w:rPr>
            <w:t>1</w:t>
          </w:r>
        </w:fldSimple>
      </w:p>
    </w:sdtContent>
  </w:sdt>
  <w:p w:rsidR="003B12E5" w:rsidRDefault="003B12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C93" w:rsidRDefault="00623C93" w:rsidP="00291DE5">
      <w:r>
        <w:separator/>
      </w:r>
    </w:p>
  </w:footnote>
  <w:footnote w:type="continuationSeparator" w:id="1">
    <w:p w:rsidR="00623C93" w:rsidRDefault="00623C93" w:rsidP="00291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36B2"/>
    <w:multiLevelType w:val="hybridMultilevel"/>
    <w:tmpl w:val="21E48DAA"/>
    <w:lvl w:ilvl="0" w:tplc="8F5AEF20">
      <w:numFmt w:val="decimal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D03"/>
    <w:rsid w:val="0002063B"/>
    <w:rsid w:val="00076D03"/>
    <w:rsid w:val="0008755D"/>
    <w:rsid w:val="001555C2"/>
    <w:rsid w:val="00291DE5"/>
    <w:rsid w:val="003B12E5"/>
    <w:rsid w:val="004776DC"/>
    <w:rsid w:val="005A7A70"/>
    <w:rsid w:val="00623C93"/>
    <w:rsid w:val="006C2929"/>
    <w:rsid w:val="007E5D9F"/>
    <w:rsid w:val="008012A4"/>
    <w:rsid w:val="008B7F4D"/>
    <w:rsid w:val="00983A92"/>
    <w:rsid w:val="009A2717"/>
    <w:rsid w:val="009C6204"/>
    <w:rsid w:val="009F4D79"/>
    <w:rsid w:val="00A64F7C"/>
    <w:rsid w:val="00A77F36"/>
    <w:rsid w:val="00B21005"/>
    <w:rsid w:val="00B45344"/>
    <w:rsid w:val="00BF3E5C"/>
    <w:rsid w:val="00D90E82"/>
    <w:rsid w:val="00F5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A7A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7A7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91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1DE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91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91DE5"/>
    <w:rPr>
      <w:sz w:val="18"/>
      <w:szCs w:val="18"/>
    </w:rPr>
  </w:style>
  <w:style w:type="paragraph" w:styleId="a7">
    <w:name w:val="List Paragraph"/>
    <w:basedOn w:val="a"/>
    <w:uiPriority w:val="34"/>
    <w:qFormat/>
    <w:rsid w:val="009C62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A7A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7A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2022-05-26T07:19:00Z</cp:lastPrinted>
  <dcterms:created xsi:type="dcterms:W3CDTF">2022-05-21T01:28:00Z</dcterms:created>
  <dcterms:modified xsi:type="dcterms:W3CDTF">2022-05-26T07:30:00Z</dcterms:modified>
</cp:coreProperties>
</file>